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DF" w:rsidRPr="00241EDF" w:rsidRDefault="00241EDF" w:rsidP="00241ED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41ED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Пожарная обстановка </w:t>
      </w:r>
      <w:proofErr w:type="gramStart"/>
      <w:r w:rsidRPr="00241ED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  <w:r w:rsidRPr="00241ED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241ED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Ханты-Мансийском</w:t>
      </w:r>
      <w:proofErr w:type="gramEnd"/>
      <w:r w:rsidRPr="00241ED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районе с января по февраль</w:t>
      </w:r>
    </w:p>
    <w:p w:rsidR="00241EDF" w:rsidRPr="00241EDF" w:rsidRDefault="00241EDF" w:rsidP="00241ED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1E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F502A" wp14:editId="04130D04">
            <wp:extent cx="3810000" cy="2733675"/>
            <wp:effectExtent l="0" t="0" r="0" b="9525"/>
            <wp:docPr id="1" name="Рисунок 1" descr="Пожарная обстановка в Ханты-Мансийском районе с января по фев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обстановка в Ханты-Мансийском районе с января по февра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DF" w:rsidRPr="00241EDF" w:rsidRDefault="00241EDF" w:rsidP="00241ED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1EDF">
        <w:rPr>
          <w:rFonts w:eastAsia="Times New Roman" w:cs="Times New Roman"/>
          <w:sz w:val="24"/>
          <w:szCs w:val="24"/>
          <w:lang w:eastAsia="ru-RU"/>
        </w:rPr>
        <w:t>18 Марта 2021</w:t>
      </w:r>
    </w:p>
    <w:p w:rsidR="00241EDF" w:rsidRPr="00241EDF" w:rsidRDefault="00241EDF" w:rsidP="00241EDF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1EDF">
        <w:rPr>
          <w:rFonts w:eastAsia="Times New Roman" w:cs="Times New Roman"/>
          <w:b/>
          <w:bCs/>
          <w:sz w:val="20"/>
          <w:szCs w:val="20"/>
          <w:lang w:eastAsia="ru-RU"/>
        </w:rPr>
        <w:t>Актуальные темы</w:t>
      </w:r>
    </w:p>
    <w:p w:rsidR="00241EDF" w:rsidRPr="00241EDF" w:rsidRDefault="00241EDF" w:rsidP="00241ED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1EDF">
        <w:rPr>
          <w:rFonts w:eastAsia="Times New Roman" w:cs="Times New Roman"/>
          <w:sz w:val="24"/>
          <w:szCs w:val="24"/>
          <w:lang w:eastAsia="ru-RU"/>
        </w:rPr>
        <w:t xml:space="preserve">В период с января по февраль </w:t>
      </w:r>
      <w:proofErr w:type="gramStart"/>
      <w:r w:rsidRPr="00241ED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EDF">
        <w:rPr>
          <w:rFonts w:eastAsia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 районе зарегистрировано 22 пожара. На пожарах гибели людей не допущено, травмирован один человек, материальный ущерб 4991,4 тыс. рублей.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В сравнении с аналогичным периодом прошлого года произошло увеличение количества пожаров в 3,6 раза (6 пожаров), количества травмированных (0 травмированных), а также суммы материального ущерба (0 рублей).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Из 22 пожаров 7 (31,8%) произошло на территории населённых пунктов района, 15 пожаров (68,2%) – на межселенной территории, из них 4 пожара на территории некоммерческих товариществ, созданных для ведения садоводства и огородничества.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241EDF">
        <w:rPr>
          <w:rFonts w:eastAsia="Times New Roman" w:cs="Times New Roman"/>
          <w:sz w:val="24"/>
          <w:szCs w:val="24"/>
          <w:lang w:eastAsia="ru-RU"/>
        </w:rPr>
        <w:t xml:space="preserve">Наибольшее количество пожаров произошло: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транспортные средства – 9 пожаров (41% от общего количества пожаров);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жилой сектор – 8 пожаров (36,4% от общего количества пожаров), из них: 6 пожаров произошло в населенных пунктах, 2 пожара на территории некоммерческих товариществ, созданных для ведения садоводства и огородничества на межселенной территории;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>– здания производственного назначения – 2 пожара (9,1% от общего количества).</w:t>
      </w:r>
      <w:proofErr w:type="gram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При этом в сравнении с прошлым годом отмечается: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снижение количества пожаров в местах открытого хранения веществ и материалов, сельскохозяйственных угодий и прочих открытых территорий – на 100% (АППГ – 2 пожара);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увеличение количества пожаров на транспортных средствах – на 100% (АППГ – 0 пожаров), на объектах жилого сектора в 2 раза (АППГ – 4 пожара) и в зданиях производственного назначения на 100% (АППГ – 0 пожаров).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Основными объектами пожаров в жилье являются: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надворная постройка (4 пожара, из них 3 на территории населенных пунктов, 1 на территории некоммерческих товариществ, созданных для ведения садоводства и </w:t>
      </w:r>
      <w:r w:rsidRPr="00241EDF">
        <w:rPr>
          <w:rFonts w:eastAsia="Times New Roman" w:cs="Times New Roman"/>
          <w:sz w:val="24"/>
          <w:szCs w:val="24"/>
          <w:lang w:eastAsia="ru-RU"/>
        </w:rPr>
        <w:lastRenderedPageBreak/>
        <w:t>огородничества)</w:t>
      </w:r>
      <w:proofErr w:type="gramStart"/>
      <w:r w:rsidRPr="00241EDF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241EDF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ногоквартирный жилой дом (2 пожара, территория населенных пунктов с. </w:t>
      </w:r>
      <w:proofErr w:type="spellStart"/>
      <w:r w:rsidRPr="00241EDF">
        <w:rPr>
          <w:rFonts w:eastAsia="Times New Roman" w:cs="Times New Roman"/>
          <w:sz w:val="24"/>
          <w:szCs w:val="24"/>
          <w:lang w:eastAsia="ru-RU"/>
        </w:rPr>
        <w:t>Кышик</w:t>
      </w:r>
      <w:proofErr w:type="spell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 и с. </w:t>
      </w:r>
      <w:proofErr w:type="spellStart"/>
      <w:r w:rsidRPr="00241EDF">
        <w:rPr>
          <w:rFonts w:eastAsia="Times New Roman" w:cs="Times New Roman"/>
          <w:sz w:val="24"/>
          <w:szCs w:val="24"/>
          <w:lang w:eastAsia="ru-RU"/>
        </w:rPr>
        <w:t>Реполово</w:t>
      </w:r>
      <w:proofErr w:type="spellEnd"/>
      <w:r w:rsidRPr="00241EDF">
        <w:rPr>
          <w:rFonts w:eastAsia="Times New Roman" w:cs="Times New Roman"/>
          <w:sz w:val="24"/>
          <w:szCs w:val="24"/>
          <w:lang w:eastAsia="ru-RU"/>
        </w:rPr>
        <w:t xml:space="preserve">);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баня, сауна на территории домовладения (1 пожар на территории некоммерческих товариществ, созданных для ведения садоводства и огородничества);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одноквартирный жилой дом (1 пожар на территории некоммерческих товариществ, созданных для ведения садоводства и огородничества);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строящийся одноквартирный жилой дом (1 пожар на территории некоммерческих товариществ, созданных для ведения садоводства и огородничества).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Основными причинами пожаров являются: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нарушение правил устройства и эксплуатации транспортных средств – 8 пожаров;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нарушение правил устройства и эксплуатации электрооборудования – 7 пожаров;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нарушение правил устройства и эксплуатации печей – 2 пожара;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– нарушение правил устройства и эксплуатации газового оборудования – 1 пожар. </w:t>
      </w:r>
      <w:r w:rsidRPr="00241EDF">
        <w:rPr>
          <w:rFonts w:eastAsia="Times New Roman" w:cs="Times New Roman"/>
          <w:sz w:val="24"/>
          <w:szCs w:val="24"/>
          <w:lang w:eastAsia="ru-RU"/>
        </w:rPr>
        <w:br/>
      </w:r>
      <w:r w:rsidRPr="00241EDF">
        <w:rPr>
          <w:rFonts w:eastAsia="Times New Roman" w:cs="Times New Roman"/>
          <w:sz w:val="24"/>
          <w:szCs w:val="24"/>
          <w:lang w:eastAsia="ru-RU"/>
        </w:rPr>
        <w:br/>
        <w:t xml:space="preserve">Управление гражданской защиты Ханты-Мансийского района призывает жителей района соблюдать требования пожарной безопасности. Берегите себя и своих близких, а также своё имущество от пожаров. Своевременно передавайте сообщение о возгораниях в ближайшее подразделение пожарной охраны и по единому номеру вызова экстренных оперативных служб – 112. </w:t>
      </w:r>
    </w:p>
    <w:p w:rsidR="00800337" w:rsidRDefault="00800337">
      <w:bookmarkStart w:id="0" w:name="_GoBack"/>
      <w:bookmarkEnd w:id="0"/>
    </w:p>
    <w:sectPr w:rsidR="0080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B"/>
    <w:rsid w:val="000222B6"/>
    <w:rsid w:val="00241EDF"/>
    <w:rsid w:val="007E6E3B"/>
    <w:rsid w:val="00800337"/>
    <w:rsid w:val="00E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2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2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2021-03-24T06:23:00Z</dcterms:created>
  <dcterms:modified xsi:type="dcterms:W3CDTF">2021-03-24T06:24:00Z</dcterms:modified>
</cp:coreProperties>
</file>